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D0" w:rsidRPr="004B15A6" w:rsidRDefault="00B750D0" w:rsidP="001F2642">
      <w:pPr>
        <w:spacing w:after="0" w:line="240" w:lineRule="auto"/>
        <w:rPr>
          <w:rFonts w:cs="Calibri"/>
          <w:b/>
          <w:sz w:val="32"/>
        </w:rPr>
      </w:pPr>
      <w:bookmarkStart w:id="0" w:name="_GoBack"/>
      <w:bookmarkEnd w:id="0"/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:rsidR="00B750D0" w:rsidRPr="004B15A6" w:rsidRDefault="00DF5B51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(prema k</w:t>
      </w:r>
      <w:r w:rsidR="00B750D0" w:rsidRPr="004B15A6">
        <w:rPr>
          <w:rFonts w:cs="Calibri"/>
          <w:b/>
          <w:sz w:val="32"/>
        </w:rPr>
        <w:t>urikulima nastavnih predmeta)</w:t>
      </w:r>
    </w:p>
    <w:p w:rsidR="00B750D0" w:rsidRPr="004B15A6" w:rsidRDefault="001F2642" w:rsidP="00B750D0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Učiteljica: Mirjana Šeović</w:t>
      </w:r>
    </w:p>
    <w:p w:rsidR="00B750D0" w:rsidRPr="001F2642" w:rsidRDefault="001F2642" w:rsidP="001F2642">
      <w:pPr>
        <w:pStyle w:val="Odlomakpopisa"/>
        <w:numPr>
          <w:ilvl w:val="0"/>
          <w:numId w:val="32"/>
        </w:numPr>
        <w:spacing w:after="0" w:line="240" w:lineRule="auto"/>
        <w:jc w:val="center"/>
        <w:rPr>
          <w:rFonts w:cs="Calibri"/>
          <w:b/>
          <w:sz w:val="32"/>
        </w:rPr>
      </w:pPr>
      <w:r w:rsidRPr="001F2642">
        <w:rPr>
          <w:rFonts w:cs="Calibri"/>
          <w:b/>
          <w:sz w:val="32"/>
        </w:rPr>
        <w:t>razred osnovne</w:t>
      </w:r>
      <w:r w:rsidR="00B750D0" w:rsidRPr="001F2642">
        <w:rPr>
          <w:rFonts w:cs="Calibri"/>
          <w:b/>
          <w:sz w:val="32"/>
        </w:rPr>
        <w:t xml:space="preserve"> škole</w:t>
      </w:r>
      <w:r w:rsidRPr="001F2642">
        <w:rPr>
          <w:rFonts w:cs="Calibri"/>
          <w:b/>
          <w:sz w:val="32"/>
        </w:rPr>
        <w:t>, šk. god. 2020./2021.</w:t>
      </w:r>
    </w:p>
    <w:p w:rsidR="001F2642" w:rsidRPr="001F2642" w:rsidRDefault="001F2642" w:rsidP="001F2642">
      <w:pPr>
        <w:spacing w:after="0" w:line="240" w:lineRule="auto"/>
        <w:ind w:left="360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6B378D" w:rsidRPr="004B15A6" w:rsidRDefault="006B378D" w:rsidP="001F2642">
      <w:pPr>
        <w:spacing w:after="0" w:line="240" w:lineRule="auto"/>
        <w:ind w:left="-426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br w:type="page"/>
      </w: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>revidiranoj Bloomovoj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>Andersen i Krathwohl,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>revidiranoj Bloomovoj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psihomotorička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r w:rsidRPr="004B15A6">
        <w:rPr>
          <w:rStyle w:val="kurziv"/>
          <w:rFonts w:ascii="Calibri" w:hAnsi="Calibri" w:cs="Calibri"/>
        </w:rPr>
        <w:t xml:space="preserve">kurikulumski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>Ocjena negativan nije posebno razrađena kako bi se izbjegao niz nemotivirajućih</w:t>
      </w:r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:rsidTr="00934018"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:rsidR="006D0648" w:rsidRPr="004B15A6" w:rsidRDefault="006D0648" w:rsidP="006D0648">
      <w:pPr>
        <w:rPr>
          <w:rFonts w:cs="Calibri"/>
          <w:sz w:val="24"/>
          <w:szCs w:val="24"/>
        </w:rPr>
      </w:pP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:rsidR="006D0648" w:rsidRPr="004B15A6" w:rsidRDefault="00B8740B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C53FD" id="Zaobljeni pravokutnik 2" o:spid="_x0000_s1026" style="position:absolute;margin-left:18.55pt;margin-top:.55pt;width:1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" filled="f" strokecolor="#c00000" strokeweight="2pt">
                <v:path arrowok="t"/>
              </v:roundrect>
            </w:pict>
          </mc:Fallback>
        </mc:AlternateConten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:rsidR="006D0648" w:rsidRPr="004B15A6" w:rsidRDefault="00B8740B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C51" w:rsidRPr="00934018" w:rsidRDefault="007A4C51" w:rsidP="006D06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34018">
                              <w:rPr>
                                <w:color w:val="000000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" adj="-2744,-13397,45,-812" filled="f" strokecolor="#c00000" strokeweight="2pt">
                <v:textbox>
                  <w:txbxContent>
                    <w:p w:rsidR="007A4C51" w:rsidRPr="00934018" w:rsidRDefault="007A4C51" w:rsidP="006D0648">
                      <w:pPr>
                        <w:jc w:val="center"/>
                        <w:rPr>
                          <w:color w:val="000000"/>
                        </w:rPr>
                      </w:pPr>
                      <w:r w:rsidRPr="00934018">
                        <w:rPr>
                          <w:color w:val="000000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:rsidR="006D0648" w:rsidRPr="004B15A6" w:rsidRDefault="006D0648" w:rsidP="006D0648">
      <w:pPr>
        <w:rPr>
          <w:rFonts w:cs="Calibri"/>
        </w:rPr>
      </w:pPr>
    </w:p>
    <w:p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:rsidR="004229D9" w:rsidRPr="004B15A6" w:rsidRDefault="004229D9">
      <w:pPr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br w:type="page"/>
      </w:r>
    </w:p>
    <w:p w:rsidR="00997EE6" w:rsidRPr="004B15A6" w:rsidRDefault="00997EE6" w:rsidP="00997EE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HRVATSKI JEZIK</w:t>
      </w:r>
    </w:p>
    <w:p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lastRenderedPageBreak/>
        <w:t xml:space="preserve">Kurzivirani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5D58" w:rsidRPr="00400DAD" w:rsidRDefault="009C5D58" w:rsidP="00934018">
            <w:pPr>
              <w:spacing w:after="0" w:line="240" w:lineRule="auto"/>
              <w:jc w:val="center"/>
              <w:rPr>
                <w:rFonts w:cs="Calibri"/>
                <w:color w:val="5F497A" w:themeColor="accent4" w:themeShade="BF"/>
                <w:sz w:val="28"/>
              </w:rPr>
            </w:pPr>
            <w:r w:rsidRPr="00400DAD">
              <w:rPr>
                <w:rFonts w:cs="Calibri"/>
                <w:color w:val="5F497A" w:themeColor="accent4" w:themeShade="BF"/>
                <w:sz w:val="28"/>
              </w:rPr>
              <w:t xml:space="preserve">SASTAVNICA/ELEMENT VREDNOVANJA: </w:t>
            </w: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HRVATSKI JEZIK I KOMUNIKACIJA</w:t>
            </w:r>
          </w:p>
        </w:tc>
      </w:tr>
      <w:tr w:rsidR="00D74C65" w:rsidRPr="004B15A6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dodatna pitanja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sugestije učitelja.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pitanja o slušanome tekstu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odgovara na pitanja o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Kratko i nepotpuno potpuno odgovara na pitanja o slušanome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 uz stalno navođenje.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Teže povezuje napisano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 točno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povezuje napisano slovo s glasom; povezuje glasove i slova u slogove i cjelovitu riječ te riječi u rečenicu s lakoćom.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čita riječi, rečenice, tekstove primjereno početnomu opismenjavanju 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i čita podatke u grafičkim prikazima i tekstovima drugih 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 kratke rečenice u skladu s jezičnim razvojem.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primjenjujući dosad obrađena jezična pravila u pisanju.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značenje riječi koje ne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povremeno traži objašnjenje za značenje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sam istražuje značenja nepoznatih riječi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koristeći se rječnikom ili digitalnim medijima.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poznavajući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2B2629" w:rsidRPr="00F43255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F43255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različitost u kratkim i učeniku poznatim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2B2629" w:rsidRPr="00400DAD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8"/>
                <w:szCs w:val="23"/>
                <w:highlight w:val="yellow"/>
                <w:lang w:eastAsia="hr-HR"/>
              </w:rPr>
            </w:pP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lastRenderedPageBreak/>
              <w:t>SASTAVNICA/ELEMENT VREDNOVANJA PREMA KURIKULARNIM DOKUMENTIMA: KNJIŽEVNOST I</w:t>
            </w:r>
            <w:r w:rsidR="004B15A6" w:rsidRPr="00400DAD">
              <w:rPr>
                <w:rFonts w:cs="Calibri"/>
                <w:b/>
                <w:color w:val="5F497A" w:themeColor="accent4" w:themeShade="BF"/>
                <w:sz w:val="28"/>
              </w:rPr>
              <w:t xml:space="preserve"> </w:t>
            </w: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STVARALAŠTVO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likova donoseći vlastite stavove i vrijednosti.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elemente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Slušno uočava elemente igre riječima u pjesmi tek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dodatnu pomoć.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stvara svoje igre riječima ili nadopunjuje već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ponuđene.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prepričava pročitanu priču vlastitim riječima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:rsidTr="00934018">
        <w:tc>
          <w:tcPr>
            <w:tcW w:w="12475" w:type="dxa"/>
            <w:gridSpan w:val="6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:rsidTr="00934018">
        <w:tc>
          <w:tcPr>
            <w:tcW w:w="15877" w:type="dxa"/>
            <w:gridSpan w:val="8"/>
            <w:shd w:val="clear" w:color="auto" w:fill="C5E0B3"/>
          </w:tcPr>
          <w:p w:rsidR="002B2629" w:rsidRPr="00400DAD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8"/>
                <w:szCs w:val="23"/>
                <w:highlight w:val="yellow"/>
                <w:lang w:eastAsia="hr-HR"/>
              </w:rPr>
            </w:pP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 omiljene medijske sadržaje i razgovara o njima: animirani filmovi, televizijske i radijske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izdvaja omiljene medijske sadržaje i razgovara o njima: animirani filmovi,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:rsidR="004229D9" w:rsidRPr="004B15A6" w:rsidRDefault="004229D9" w:rsidP="007329B7">
      <w:pPr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:rsidR="007329B7" w:rsidRPr="004B15A6" w:rsidRDefault="007329B7" w:rsidP="007329B7">
      <w:pPr>
        <w:rPr>
          <w:rFonts w:cs="Calibri"/>
          <w:sz w:val="24"/>
          <w:szCs w:val="28"/>
        </w:rPr>
      </w:pPr>
    </w:p>
    <w:p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prostorno-plastička</w:t>
      </w:r>
      <w:r w:rsidR="007329B7" w:rsidRPr="004B15A6">
        <w:rPr>
          <w:rFonts w:eastAsia="Times New Roman" w:cs="Calibri"/>
          <w:i/>
          <w:sz w:val="24"/>
          <w:lang w:eastAsia="hr-HR"/>
        </w:rPr>
        <w:t>: glina, glinamol, papir-plastika, ambalaža i drugi materijali.</w:t>
      </w:r>
    </w:p>
    <w:p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lutkarstvo.</w:t>
      </w:r>
    </w:p>
    <w:p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:rsidR="007329B7" w:rsidRPr="00400DAD" w:rsidRDefault="007329B7" w:rsidP="00934018">
            <w:pPr>
              <w:spacing w:after="0" w:line="240" w:lineRule="auto"/>
              <w:jc w:val="center"/>
              <w:rPr>
                <w:rFonts w:cs="Calibri"/>
                <w:color w:val="5F497A" w:themeColor="accent4" w:themeShade="BF"/>
                <w:sz w:val="28"/>
              </w:rPr>
            </w:pP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lastRenderedPageBreak/>
              <w:t>STVARALAŠTVO I PRODUKTIVNOST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:rsidR="00BD1B99" w:rsidRPr="00F43255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3"/>
                <w:lang w:eastAsia="hr-HR"/>
              </w:rPr>
            </w:pPr>
            <w:r w:rsidRPr="00F43255">
              <w:rPr>
                <w:rFonts w:cs="Calibri"/>
                <w:b/>
                <w:sz w:val="28"/>
              </w:rPr>
              <w:t xml:space="preserve">ISHOD: </w:t>
            </w:r>
            <w:r w:rsidRPr="00F43255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A.1.1. </w:t>
            </w:r>
            <w:r w:rsidRPr="00F43255">
              <w:rPr>
                <w:rFonts w:eastAsia="Times New Roman" w:cs="Calibri"/>
                <w:b/>
                <w:sz w:val="28"/>
                <w:szCs w:val="23"/>
                <w:lang w:eastAsia="hr-HR"/>
              </w:rPr>
              <w:t>Učenik prepoznaje umjetnost kao način komunikacije i</w:t>
            </w:r>
            <w:r w:rsidR="004B15A6" w:rsidRPr="00F43255">
              <w:rPr>
                <w:rFonts w:eastAsia="Times New Roman" w:cs="Calibri"/>
                <w:b/>
                <w:sz w:val="28"/>
                <w:szCs w:val="23"/>
                <w:lang w:eastAsia="hr-HR"/>
              </w:rPr>
              <w:t xml:space="preserve">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F43255">
              <w:rPr>
                <w:rFonts w:eastAsia="Times New Roman" w:cs="Calibri"/>
                <w:b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C5E0B3"/>
          </w:tcPr>
          <w:p w:rsidR="007329B7" w:rsidRPr="001F2642" w:rsidRDefault="007329B7" w:rsidP="00934018">
            <w:pPr>
              <w:spacing w:after="0" w:line="240" w:lineRule="auto"/>
              <w:jc w:val="center"/>
              <w:rPr>
                <w:rFonts w:cs="Calibri"/>
                <w:color w:val="17365D" w:themeColor="text2" w:themeShade="BF"/>
                <w:sz w:val="28"/>
              </w:rPr>
            </w:pPr>
            <w:r w:rsidRPr="001F2642">
              <w:rPr>
                <w:rFonts w:cs="Calibri"/>
                <w:b/>
                <w:color w:val="17365D" w:themeColor="text2" w:themeShade="BF"/>
                <w:sz w:val="28"/>
              </w:rPr>
              <w:t>DOŽIVLJAJ I KRITIČKI STAV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likovne elemente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kompozicijska načela</w:t>
            </w:r>
          </w:p>
          <w:p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likovne elemente i kompozicijska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materijale i postupke (rad s različitim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materijalima)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:rsidR="007329B7" w:rsidRPr="001F2642" w:rsidRDefault="007329B7" w:rsidP="00934018">
            <w:pPr>
              <w:spacing w:after="0" w:line="240" w:lineRule="auto"/>
              <w:jc w:val="center"/>
              <w:rPr>
                <w:rFonts w:cs="Calibri"/>
                <w:color w:val="17365D" w:themeColor="text2" w:themeShade="BF"/>
                <w:sz w:val="28"/>
              </w:rPr>
            </w:pPr>
            <w:r w:rsidRPr="001F2642">
              <w:rPr>
                <w:rFonts w:cs="Calibri"/>
                <w:b/>
                <w:color w:val="17365D" w:themeColor="text2" w:themeShade="BF"/>
                <w:sz w:val="28"/>
              </w:rPr>
              <w:t>UMJETNOST U KONTEKSTU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učenik: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7329B7" w:rsidRDefault="007329B7" w:rsidP="007329B7">
      <w:pPr>
        <w:rPr>
          <w:rFonts w:cs="Calibri"/>
          <w:sz w:val="24"/>
        </w:rPr>
      </w:pPr>
    </w:p>
    <w:p w:rsidR="00400DAD" w:rsidRDefault="00400DAD" w:rsidP="007329B7">
      <w:pPr>
        <w:rPr>
          <w:rFonts w:cs="Calibri"/>
          <w:sz w:val="24"/>
        </w:rPr>
      </w:pPr>
    </w:p>
    <w:p w:rsidR="00400DAD" w:rsidRDefault="00400DAD" w:rsidP="007329B7">
      <w:pPr>
        <w:rPr>
          <w:rFonts w:cs="Calibri"/>
          <w:sz w:val="24"/>
        </w:rPr>
      </w:pPr>
    </w:p>
    <w:p w:rsidR="00400DAD" w:rsidRDefault="00400DAD" w:rsidP="007329B7">
      <w:pPr>
        <w:rPr>
          <w:rFonts w:cs="Calibri"/>
          <w:sz w:val="24"/>
        </w:rPr>
      </w:pPr>
    </w:p>
    <w:p w:rsidR="00400DAD" w:rsidRDefault="00400DAD" w:rsidP="007329B7">
      <w:pPr>
        <w:rPr>
          <w:rFonts w:cs="Calibri"/>
          <w:sz w:val="24"/>
        </w:rPr>
      </w:pPr>
    </w:p>
    <w:p w:rsidR="00400DAD" w:rsidRDefault="00400DAD" w:rsidP="007329B7">
      <w:pPr>
        <w:rPr>
          <w:rFonts w:cs="Calibri"/>
          <w:sz w:val="24"/>
        </w:rPr>
      </w:pPr>
    </w:p>
    <w:p w:rsidR="00400DAD" w:rsidRPr="004B15A6" w:rsidRDefault="00400DAD" w:rsidP="007329B7">
      <w:pPr>
        <w:rPr>
          <w:rFonts w:cs="Calibri"/>
          <w:sz w:val="24"/>
        </w:rPr>
      </w:pPr>
    </w:p>
    <w:p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lastRenderedPageBreak/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:rsidTr="006D70D8">
        <w:tc>
          <w:tcPr>
            <w:tcW w:w="426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A4C51" w:rsidRPr="00400DAD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5F497A" w:themeColor="accent4" w:themeShade="BF"/>
                <w:sz w:val="28"/>
                <w:szCs w:val="24"/>
                <w:lang w:eastAsia="hr-HR"/>
              </w:rPr>
            </w:pPr>
            <w:r w:rsidRPr="00400DAD">
              <w:rPr>
                <w:rFonts w:eastAsia="Times New Roman" w:cs="Calibri"/>
                <w:b/>
                <w:color w:val="5F497A" w:themeColor="accent4" w:themeShade="BF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:rsidR="007A4C51" w:rsidRPr="001F2642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548DD4" w:themeColor="text2" w:themeTint="99"/>
                <w:sz w:val="28"/>
                <w:szCs w:val="24"/>
                <w:lang w:eastAsia="hr-HR"/>
              </w:rPr>
            </w:pPr>
            <w:r w:rsidRPr="001F2642">
              <w:rPr>
                <w:rFonts w:eastAsia="Times New Roman" w:cs="Calibri"/>
                <w:b/>
                <w:color w:val="548DD4" w:themeColor="text2" w:themeTint="99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</w:tcPr>
          <w:p w:rsidR="007A4C51" w:rsidRPr="00400DAD" w:rsidRDefault="007A4C51" w:rsidP="00934018">
            <w:pPr>
              <w:spacing w:after="0" w:line="240" w:lineRule="auto"/>
              <w:jc w:val="center"/>
              <w:rPr>
                <w:rFonts w:cs="Calibri"/>
                <w:color w:val="5F497A" w:themeColor="accent4" w:themeShade="BF"/>
                <w:sz w:val="28"/>
                <w:szCs w:val="24"/>
              </w:rPr>
            </w:pPr>
            <w:r w:rsidRPr="00400DAD">
              <w:rPr>
                <w:rFonts w:eastAsia="Times New Roman" w:cs="Calibri"/>
                <w:b/>
                <w:color w:val="5F497A" w:themeColor="accent4" w:themeShade="BF"/>
                <w:sz w:val="28"/>
                <w:szCs w:val="24"/>
                <w:lang w:eastAsia="hr-HR"/>
              </w:rPr>
              <w:t xml:space="preserve">DOMENA C: </w:t>
            </w:r>
            <w:r w:rsidRPr="00400DAD">
              <w:rPr>
                <w:rFonts w:cs="Calibri"/>
                <w:b/>
                <w:color w:val="5F497A" w:themeColor="accent4" w:themeShade="BF"/>
                <w:sz w:val="28"/>
                <w:szCs w:val="24"/>
              </w:rPr>
              <w:t>GLAZBA U KONTEKSTU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Pr="004B15A6" w:rsidRDefault="007A4C51" w:rsidP="007A4C51">
      <w:pPr>
        <w:rPr>
          <w:sz w:val="24"/>
          <w:szCs w:val="24"/>
        </w:rPr>
      </w:pPr>
    </w:p>
    <w:p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:rsidTr="007A4C51">
        <w:tc>
          <w:tcPr>
            <w:tcW w:w="42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:rsidR="007A4C51" w:rsidRPr="001F2642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color w:val="17365D" w:themeColor="text2" w:themeShade="BF"/>
                <w:sz w:val="28"/>
              </w:rPr>
            </w:pPr>
            <w:r w:rsidRPr="001F2642">
              <w:rPr>
                <w:rFonts w:cs="Calibri"/>
                <w:b/>
                <w:color w:val="17365D" w:themeColor="text2" w:themeShade="BF"/>
                <w:sz w:val="28"/>
              </w:rPr>
              <w:t>BROJEVI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Prikazuje brojeve do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20 na različite načine.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Metodom pokušaja i </w:t>
            </w:r>
            <w:r w:rsidRPr="004B15A6">
              <w:rPr>
                <w:rFonts w:cs="Calibri"/>
                <w:sz w:val="24"/>
              </w:rPr>
              <w:lastRenderedPageBreak/>
              <w:t>pogrešaka prikazuje brojeve na različite načine.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Djelomično rastavlja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brojeve do 20 na ponuđene načine.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Prikazuje brojeve do 20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na različite načine uz manji poticaj.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Samostalno točno rastavlja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brojeve do 20 na različite načine.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Čita i zapisuje brojeve do 20 i nulu brojkama i brojevnim riječima. </w:t>
            </w:r>
          </w:p>
          <w:p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Određuje odnos među brojevima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pomoć učitelja određuje odnos među brojevima riječima: veći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Uglavnom točno određuje odnos među brojevima riječima: veći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svojstva komutativnosti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se konkretima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odabire strategije, donosi zaključke i određuje moguća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, određuje što je poznato i nepoznato, odabire strategije. Donosi uglavnom ispravne zaključke.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00DAD" w:rsidRDefault="007A4C51" w:rsidP="00934018">
            <w:pPr>
              <w:spacing w:after="0" w:line="240" w:lineRule="auto"/>
              <w:jc w:val="center"/>
              <w:rPr>
                <w:rFonts w:cs="Calibri"/>
                <w:color w:val="5F497A" w:themeColor="accent4" w:themeShade="BF"/>
                <w:sz w:val="28"/>
              </w:rPr>
            </w:pP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ALGEBRA I FUNKCIJE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00DAD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8"/>
                <w:szCs w:val="23"/>
                <w:highlight w:val="yellow"/>
                <w:lang w:eastAsia="hr-HR"/>
              </w:rPr>
            </w:pP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OBLIK</w:t>
            </w:r>
            <w:r w:rsidR="004B15A6" w:rsidRPr="00400DAD">
              <w:rPr>
                <w:rFonts w:cs="Calibri"/>
                <w:b/>
                <w:color w:val="5F497A" w:themeColor="accent4" w:themeShade="BF"/>
                <w:sz w:val="28"/>
              </w:rPr>
              <w:t xml:space="preserve"> </w:t>
            </w: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I</w:t>
            </w:r>
            <w:r w:rsidR="004B15A6" w:rsidRPr="00400DAD">
              <w:rPr>
                <w:rFonts w:cs="Calibri"/>
                <w:b/>
                <w:color w:val="5F497A" w:themeColor="accent4" w:themeShade="BF"/>
                <w:sz w:val="28"/>
              </w:rPr>
              <w:t xml:space="preserve"> </w:t>
            </w: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PROSTOR</w:t>
            </w:r>
          </w:p>
        </w:tc>
      </w:tr>
      <w:tr w:rsidR="007A4C51" w:rsidRPr="004B15A6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Ističe točke na sjecištu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Ističe točke na sjecištu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Ističe točke na sjecištu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Ističe točke na sjecištu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ravnih i zakrivljenih crta, na geometrijskim tijelima i likovima bez poticaja.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00DAD" w:rsidRDefault="007A4C51" w:rsidP="00934018">
            <w:pPr>
              <w:spacing w:after="0" w:line="240" w:lineRule="auto"/>
              <w:jc w:val="center"/>
              <w:rPr>
                <w:rFonts w:cs="Calibri"/>
                <w:color w:val="5F497A" w:themeColor="accent4" w:themeShade="BF"/>
                <w:sz w:val="28"/>
              </w:rPr>
            </w:pP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lastRenderedPageBreak/>
              <w:t>MJERENJE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pri jednostavnijim radnjama.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Služi se kunama i znakom jedinične vrijednosti kuna uz pomoć i zadane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Služi se kunama i znakom jedinične vrijednosti kuna, shvaća vrijednost novca, primjenjuje znanje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svakodnevne situacije.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00DAD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5F497A" w:themeColor="accent4" w:themeShade="BF"/>
                <w:sz w:val="28"/>
                <w:szCs w:val="23"/>
                <w:lang w:eastAsia="hr-HR"/>
              </w:rPr>
            </w:pP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PODACI, STATISTIKA I VJEROJATNOST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tumači podatke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 xml:space="preserve">ovezuje 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Čita podatke iz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piktograma i tablica uz dodatne smjernice i navođenja.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manju pomoć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greške čita i tumači piktograme i tablice.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prikazane piktogramima i jednostavnim tablicama.</w:t>
            </w:r>
          </w:p>
        </w:tc>
      </w:tr>
    </w:tbl>
    <w:p w:rsidR="004229D9" w:rsidRPr="004B15A6" w:rsidRDefault="004229D9" w:rsidP="007D4196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D4196" w:rsidRPr="00400DAD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5F497A" w:themeColor="accent4" w:themeShade="BF"/>
                <w:sz w:val="28"/>
                <w:szCs w:val="24"/>
                <w:lang w:eastAsia="hr-HR"/>
              </w:rPr>
            </w:pPr>
            <w:r w:rsidRPr="00400DAD">
              <w:rPr>
                <w:rFonts w:eastAsia="Times New Roman" w:cs="Calibri"/>
                <w:b/>
                <w:color w:val="5F497A" w:themeColor="accent4" w:themeShade="BF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svojstva tvari koja istražuje svojim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se prisjeća svojstva tvari istražena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osjetilima.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svojstva tvari koja istražuje svojim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osjetilima.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i klasificira svojstva istraživanih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tvari svojim osjetilima.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i analizira svojstva tvari te 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istražuje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4B15A6">
              <w:rPr>
                <w:rFonts w:cs="Calibri"/>
                <w:sz w:val="24"/>
              </w:rPr>
              <w:t xml:space="preserve"> po </w:t>
            </w:r>
            <w:r w:rsidRPr="004B15A6">
              <w:rPr>
                <w:rFonts w:cs="Calibri"/>
                <w:sz w:val="24"/>
              </w:rPr>
              <w:lastRenderedPageBreak/>
              <w:t>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povezanost održavanja osobne čistoće,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čistoće i tjelovježbe te njihovu vezu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očuvanjem zdravlja.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obitelji, djelatnici u školi, radni prostor,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kratko uspoređuje organizaciju doma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škole.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obitelji, djelatnici u školi, radni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prostor, prostorije...).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pravila i primjere njihove primjene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neposrednome okružju te razlikuje iste.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 u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7D4196" w:rsidRPr="00400DAD" w:rsidRDefault="007D4196" w:rsidP="00934018">
            <w:pPr>
              <w:spacing w:after="0" w:line="240" w:lineRule="auto"/>
              <w:jc w:val="center"/>
              <w:rPr>
                <w:rFonts w:cs="Calibri"/>
                <w:color w:val="5F497A" w:themeColor="accent4" w:themeShade="BF"/>
                <w:sz w:val="28"/>
              </w:rPr>
            </w:pP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B: PROMJENE</w:t>
            </w:r>
            <w:r w:rsidR="004B15A6" w:rsidRPr="00400DAD">
              <w:rPr>
                <w:rFonts w:cs="Calibri"/>
                <w:b/>
                <w:color w:val="5F497A" w:themeColor="accent4" w:themeShade="BF"/>
                <w:sz w:val="28"/>
              </w:rPr>
              <w:t xml:space="preserve"> </w:t>
            </w: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I</w:t>
            </w:r>
            <w:r w:rsidR="004B15A6" w:rsidRPr="00400DAD">
              <w:rPr>
                <w:rFonts w:cs="Calibri"/>
                <w:b/>
                <w:color w:val="5F497A" w:themeColor="accent4" w:themeShade="BF"/>
                <w:sz w:val="28"/>
              </w:rPr>
              <w:t xml:space="preserve"> </w:t>
            </w:r>
            <w:r w:rsidRPr="00400DAD">
              <w:rPr>
                <w:rFonts w:cs="Calibri"/>
                <w:b/>
                <w:color w:val="5F497A" w:themeColor="accent4" w:themeShade="BF"/>
                <w:sz w:val="28"/>
              </w:rPr>
              <w:t>ODNOSI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 predviđa promjene u prirodi u neposrednome okolišu bez pomoći i točno.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 smjenu godišnjih doba i svoje navike prilagođava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Prepoznaje smjenu godišnjih doba i svoje navike prilagođava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smjenu godišnjih doba i svoje navike prilagođava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Vremenskim slijedom prati, prepoznaje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smjenu godišnjih doba i svoje navike prilagođava izmjeni godišnjih doba te pojašnjava zašto to čini.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u tjednu i godišnjih doba te ih povezuje s aktivnostima u životu bez ikakvih dodatnih uputa i smjernica.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odnose: gore-dolje, naprijed-natrag, ispred-iza, lijevo-desno, unutar-izvan, ispod-iznad.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odnose: gore-dolje, naprijed-natrag, ispred-iza, lijevo-desno, unutar-izvan, ispod-iznad.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položaj prema zadanim prostornim odrednicama uz poštivanje i primjenu 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gore-dolje, naprijed-natrag, ispred-iza, lijevo-desno, unutar-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izvan, ispod-iznad).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1F2642" w:rsidRDefault="007D4196" w:rsidP="00934018">
            <w:pPr>
              <w:spacing w:after="0" w:line="240" w:lineRule="auto"/>
              <w:jc w:val="center"/>
              <w:rPr>
                <w:rFonts w:cs="Calibri"/>
                <w:color w:val="17365D" w:themeColor="text2" w:themeShade="BF"/>
                <w:sz w:val="28"/>
              </w:rPr>
            </w:pPr>
            <w:r w:rsidRPr="001F2642">
              <w:rPr>
                <w:rFonts w:cs="Calibri"/>
                <w:b/>
                <w:color w:val="17365D" w:themeColor="text2" w:themeShade="BF"/>
                <w:sz w:val="28"/>
              </w:rPr>
              <w:t>C: POJEDINAC</w:t>
            </w:r>
            <w:r w:rsidR="004B15A6" w:rsidRPr="001F2642">
              <w:rPr>
                <w:rFonts w:cs="Calibri"/>
                <w:b/>
                <w:color w:val="17365D" w:themeColor="text2" w:themeShade="BF"/>
                <w:sz w:val="28"/>
              </w:rPr>
              <w:t xml:space="preserve"> </w:t>
            </w:r>
            <w:r w:rsidRPr="001F2642">
              <w:rPr>
                <w:rFonts w:cs="Calibri"/>
                <w:b/>
                <w:color w:val="17365D" w:themeColor="text2" w:themeShade="BF"/>
                <w:sz w:val="28"/>
              </w:rPr>
              <w:t>I</w:t>
            </w:r>
            <w:r w:rsidR="004B15A6" w:rsidRPr="001F2642">
              <w:rPr>
                <w:rFonts w:cs="Calibri"/>
                <w:b/>
                <w:color w:val="17365D" w:themeColor="text2" w:themeShade="BF"/>
                <w:sz w:val="28"/>
              </w:rPr>
              <w:t xml:space="preserve"> </w:t>
            </w:r>
            <w:r w:rsidRPr="001F2642">
              <w:rPr>
                <w:rFonts w:cs="Calibri"/>
                <w:b/>
                <w:color w:val="17365D" w:themeColor="text2" w:themeShade="BF"/>
                <w:sz w:val="28"/>
              </w:rPr>
              <w:t>DRUŠTVO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na zadanim 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i objašnjava o utjecaju pojedinca i zajednice na njegovu osobnost i ponašanje (ponašanje u interesnoj grupi, razredu/pravila i slično).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od dužnosti te iste i obavlja shvaćajući važnost 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značaj nepoigravanja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</w:t>
            </w:r>
            <w:r w:rsidRPr="004B15A6">
              <w:rPr>
                <w:rFonts w:cs="Calibr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 domu, školi, javnim mjestima, prometu, prema svome zdravlju i okolišu te svojim ponašanjem služi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 primjer ostalima.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1F2642" w:rsidRDefault="007D4196" w:rsidP="00934018">
            <w:pPr>
              <w:spacing w:after="0" w:line="240" w:lineRule="auto"/>
              <w:jc w:val="center"/>
              <w:rPr>
                <w:rFonts w:cs="Calibri"/>
                <w:color w:val="17365D" w:themeColor="text2" w:themeShade="BF"/>
                <w:sz w:val="28"/>
              </w:rPr>
            </w:pPr>
            <w:r w:rsidRPr="001F2642">
              <w:rPr>
                <w:rFonts w:cs="Calibri"/>
                <w:b/>
                <w:color w:val="17365D" w:themeColor="text2" w:themeShade="BF"/>
                <w:sz w:val="28"/>
              </w:rPr>
              <w:t>D: ENERGIJA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1F2642" w:rsidRDefault="007D4196" w:rsidP="00934018">
            <w:pPr>
              <w:spacing w:after="0" w:line="240" w:lineRule="auto"/>
              <w:jc w:val="center"/>
              <w:rPr>
                <w:rFonts w:cs="Calibri"/>
                <w:color w:val="17365D" w:themeColor="text2" w:themeShade="BF"/>
                <w:sz w:val="28"/>
              </w:rPr>
            </w:pPr>
            <w:r w:rsidRPr="001F2642">
              <w:rPr>
                <w:rFonts w:cs="Calibri"/>
                <w:b/>
                <w:color w:val="17365D" w:themeColor="text2" w:themeShade="BF"/>
                <w:sz w:val="28"/>
              </w:rPr>
              <w:t xml:space="preserve"> ISTRAŽIVAČKI PRISTUP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1F2642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17365D" w:themeColor="text2" w:themeShade="BF"/>
                <w:sz w:val="28"/>
                <w:szCs w:val="28"/>
                <w:lang w:eastAsia="hr-HR"/>
              </w:rPr>
            </w:pPr>
            <w:r w:rsidRPr="001F2642">
              <w:rPr>
                <w:rFonts w:eastAsia="Times New Roman" w:cs="Calibri"/>
                <w:b/>
                <w:color w:val="17365D" w:themeColor="text2" w:themeShade="BF"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7D4196" w:rsidRPr="001F2642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17365D" w:themeColor="text2" w:themeShade="BF"/>
                <w:sz w:val="28"/>
                <w:szCs w:val="28"/>
                <w:lang w:eastAsia="hr-HR"/>
              </w:rPr>
            </w:pPr>
            <w:r w:rsidRPr="001F2642">
              <w:rPr>
                <w:rFonts w:eastAsia="Times New Roman" w:cs="Calibri"/>
                <w:b/>
                <w:color w:val="17365D" w:themeColor="text2" w:themeShade="BF"/>
                <w:sz w:val="28"/>
                <w:szCs w:val="28"/>
                <w:lang w:eastAsia="hr-HR"/>
              </w:rPr>
              <w:lastRenderedPageBreak/>
              <w:t>prirodnih ili društvenih pojava u neposrednome okružju i koristi se različitim izvorima informacija.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lastRenderedPageBreak/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uočeno,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uočeno,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 prema primjeru.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i povremeno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uočeno,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uočeno,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:rsidR="004229D9" w:rsidRPr="004B15A6" w:rsidRDefault="004229D9" w:rsidP="00786248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86248" w:rsidRPr="001F2642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17365D" w:themeColor="text2" w:themeShade="BF"/>
                <w:sz w:val="28"/>
                <w:szCs w:val="24"/>
                <w:lang w:eastAsia="hr-HR"/>
              </w:rPr>
            </w:pPr>
            <w:r w:rsidRPr="001F2642">
              <w:rPr>
                <w:rFonts w:eastAsia="Times New Roman" w:cs="Calibri"/>
                <w:b/>
                <w:color w:val="17365D" w:themeColor="text2" w:themeShade="BF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1F2642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365F91" w:themeColor="accent1" w:themeShade="BF"/>
                <w:sz w:val="28"/>
                <w:szCs w:val="28"/>
                <w:lang w:eastAsia="hr-HR"/>
              </w:rPr>
            </w:pPr>
            <w:r w:rsidRPr="001F2642">
              <w:rPr>
                <w:rFonts w:eastAsia="Times New Roman" w:cs="Calibri"/>
                <w:b/>
                <w:color w:val="365F91" w:themeColor="accent1" w:themeShade="BF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1F2642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17365D" w:themeColor="text2" w:themeShade="BF"/>
                <w:sz w:val="28"/>
                <w:szCs w:val="24"/>
                <w:lang w:eastAsia="hr-HR"/>
              </w:rPr>
            </w:pPr>
            <w:r w:rsidRPr="001F2642">
              <w:rPr>
                <w:rFonts w:eastAsia="Times New Roman" w:cs="Calibri"/>
                <w:b/>
                <w:color w:val="17365D" w:themeColor="text2" w:themeShade="BF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1F2642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17365D" w:themeColor="text2" w:themeShade="BF"/>
                <w:sz w:val="28"/>
                <w:szCs w:val="24"/>
                <w:lang w:eastAsia="hr-HR"/>
              </w:rPr>
            </w:pPr>
            <w:r w:rsidRPr="001F2642">
              <w:rPr>
                <w:rFonts w:eastAsia="Times New Roman" w:cs="Calibri"/>
                <w:b/>
                <w:color w:val="17365D" w:themeColor="text2" w:themeShade="BF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sat ne nosi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Isključivo uz 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učiteljevo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Uglavnom redovito donosi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Redovito donosi urednu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čistu odgovarajuću opremu za TZK. 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OŠ TZK D.1.2. Slijedi upute za rad i pravila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7C" w:rsidRDefault="0020257C" w:rsidP="00394D17">
      <w:pPr>
        <w:spacing w:after="0" w:line="240" w:lineRule="auto"/>
      </w:pPr>
      <w:r>
        <w:separator/>
      </w:r>
    </w:p>
  </w:endnote>
  <w:endnote w:type="continuationSeparator" w:id="0">
    <w:p w:rsidR="0020257C" w:rsidRDefault="0020257C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A6" w:rsidRDefault="00461E5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40B">
      <w:rPr>
        <w:noProof/>
      </w:rPr>
      <w:t>2</w:t>
    </w:r>
    <w:r>
      <w:rPr>
        <w:noProof/>
      </w:rPr>
      <w:fldChar w:fldCharType="end"/>
    </w:r>
  </w:p>
  <w:p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7C" w:rsidRDefault="0020257C" w:rsidP="00394D17">
      <w:pPr>
        <w:spacing w:after="0" w:line="240" w:lineRule="auto"/>
      </w:pPr>
      <w:r>
        <w:separator/>
      </w:r>
    </w:p>
  </w:footnote>
  <w:footnote w:type="continuationSeparator" w:id="0">
    <w:p w:rsidR="0020257C" w:rsidRDefault="0020257C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B0332"/>
    <w:multiLevelType w:val="hybridMultilevel"/>
    <w:tmpl w:val="B1000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31"/>
  </w:num>
  <w:num w:numId="10">
    <w:abstractNumId w:val="27"/>
  </w:num>
  <w:num w:numId="11">
    <w:abstractNumId w:val="22"/>
  </w:num>
  <w:num w:numId="12">
    <w:abstractNumId w:val="28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4"/>
  </w:num>
  <w:num w:numId="31">
    <w:abstractNumId w:val="21"/>
  </w:num>
  <w:num w:numId="32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1F2642"/>
    <w:rsid w:val="0020257C"/>
    <w:rsid w:val="00204968"/>
    <w:rsid w:val="00217138"/>
    <w:rsid w:val="002258AF"/>
    <w:rsid w:val="00226330"/>
    <w:rsid w:val="00234AB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00DAD"/>
    <w:rsid w:val="004229D9"/>
    <w:rsid w:val="004401CB"/>
    <w:rsid w:val="00445146"/>
    <w:rsid w:val="00461E55"/>
    <w:rsid w:val="00487293"/>
    <w:rsid w:val="00490F54"/>
    <w:rsid w:val="00493BE8"/>
    <w:rsid w:val="004967B7"/>
    <w:rsid w:val="004B15A6"/>
    <w:rsid w:val="004B30DF"/>
    <w:rsid w:val="004C07AD"/>
    <w:rsid w:val="004D0230"/>
    <w:rsid w:val="004D06AD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8740B"/>
    <w:rsid w:val="00BA3E88"/>
    <w:rsid w:val="00BC2A2E"/>
    <w:rsid w:val="00BD1B99"/>
    <w:rsid w:val="00BD5280"/>
    <w:rsid w:val="00BD5488"/>
    <w:rsid w:val="00BD78E3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1307C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43255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08026-B2A7-4B6D-9404-8C0EC79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19316</Words>
  <Characters>110103</Characters>
  <Application>Microsoft Office Word</Application>
  <DocSecurity>0</DocSecurity>
  <Lines>917</Lines>
  <Paragraphs>258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Knjižnica</cp:lastModifiedBy>
  <cp:revision>2</cp:revision>
  <cp:lastPrinted>2019-09-25T12:10:00Z</cp:lastPrinted>
  <dcterms:created xsi:type="dcterms:W3CDTF">2020-12-16T07:46:00Z</dcterms:created>
  <dcterms:modified xsi:type="dcterms:W3CDTF">2020-12-16T07:46:00Z</dcterms:modified>
</cp:coreProperties>
</file>